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C31" w:rsidP="00C70C31" w:rsidRDefault="00C70C31" w14:paraId="3CAB18D8" w14:textId="77777777">
      <w:pPr>
        <w:pBdr>
          <w:top w:val="nil"/>
          <w:left w:val="nil"/>
          <w:bottom w:val="nil"/>
          <w:right w:val="nil"/>
          <w:between w:val="nil"/>
        </w:pBdr>
        <w:tabs>
          <w:tab w:val="left" w:pos="5760"/>
        </w:tabs>
      </w:pPr>
      <w:r>
        <w:rPr>
          <w:noProof/>
        </w:rPr>
        <w:drawing>
          <wp:anchor distT="0" distB="0" distL="114300" distR="114300" simplePos="0" relativeHeight="251659264" behindDoc="1" locked="0" layoutInCell="1" allowOverlap="1" wp14:editId="208D264E" wp14:anchorId="6D098055">
            <wp:simplePos x="0" y="0"/>
            <wp:positionH relativeFrom="margin">
              <wp:align>left</wp:align>
            </wp:positionH>
            <wp:positionV relativeFrom="paragraph">
              <wp:posOffset>0</wp:posOffset>
            </wp:positionV>
            <wp:extent cx="2270760" cy="1661160"/>
            <wp:effectExtent l="0" t="0" r="0" b="0"/>
            <wp:wrapTight wrapText="bothSides">
              <wp:wrapPolygon edited="0">
                <wp:start x="0" y="0"/>
                <wp:lineTo x="0" y="21303"/>
                <wp:lineTo x="21383" y="21303"/>
                <wp:lineTo x="21383" y="0"/>
                <wp:lineTo x="0" y="0"/>
              </wp:wrapPolygon>
            </wp:wrapTight>
            <wp:docPr id="1" name="image1.jpg" descr="" title=""/>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2270760" cy="1661160"/>
                    </a:xfrm>
                    <a:prstGeom prst="rect">
                      <a:avLst/>
                    </a:prstGeom>
                    <a:ln/>
                  </pic:spPr>
                </pic:pic>
              </a:graphicData>
            </a:graphic>
            <wp14:sizeRelH relativeFrom="margin">
              <wp14:pctWidth>0</wp14:pctWidth>
            </wp14:sizeRelH>
            <wp14:sizeRelV relativeFrom="margin">
              <wp14:pctHeight>0</wp14:pctHeight>
            </wp14:sizeRelV>
          </wp:anchor>
        </w:drawing>
      </w:r>
      <w:r>
        <w:tab/>
      </w:r>
    </w:p>
    <w:p w:rsidR="00C70C31" w:rsidP="00C70C31" w:rsidRDefault="00C70C31" w14:paraId="0AE4DFC1" w14:textId="77777777">
      <w:pPr>
        <w:pBdr>
          <w:top w:val="nil"/>
          <w:left w:val="nil"/>
          <w:bottom w:val="nil"/>
          <w:right w:val="nil"/>
          <w:between w:val="nil"/>
        </w:pBdr>
        <w:tabs>
          <w:tab w:val="left" w:pos="5760"/>
        </w:tabs>
      </w:pPr>
      <w:r>
        <w:tab/>
      </w:r>
    </w:p>
    <w:p w:rsidR="00C70C31" w:rsidP="00C70C31" w:rsidRDefault="00C70C31" w14:paraId="096894F5" w14:textId="77777777">
      <w:pPr>
        <w:pBdr>
          <w:top w:val="nil"/>
          <w:left w:val="nil"/>
          <w:bottom w:val="nil"/>
          <w:right w:val="nil"/>
          <w:between w:val="nil"/>
        </w:pBdr>
        <w:tabs>
          <w:tab w:val="left" w:pos="5040"/>
        </w:tabs>
        <w:rPr>
          <w:rFonts w:ascii="Bell MT" w:hAnsi="Bell MT" w:eastAsia="Bell MT" w:cs="Bell MT"/>
        </w:rPr>
      </w:pPr>
      <w:r>
        <w:tab/>
      </w:r>
      <w:r>
        <w:rPr>
          <w:rFonts w:ascii="Bell MT" w:hAnsi="Bell MT" w:eastAsia="Bell MT" w:cs="Bell MT"/>
          <w:b/>
        </w:rPr>
        <w:t>Downtown Jefferson City</w:t>
      </w:r>
    </w:p>
    <w:p w:rsidR="00C70C31" w:rsidP="00C70C31" w:rsidRDefault="00C70C31" w14:paraId="0C272411" w14:textId="77777777">
      <w:pPr>
        <w:pBdr>
          <w:top w:val="nil"/>
          <w:left w:val="nil"/>
          <w:bottom w:val="nil"/>
          <w:right w:val="nil"/>
          <w:between w:val="nil"/>
        </w:pBdr>
        <w:tabs>
          <w:tab w:val="left" w:pos="5040"/>
        </w:tabs>
        <w:ind w:left="720"/>
        <w:rPr>
          <w:rFonts w:ascii="Bell MT" w:hAnsi="Bell MT" w:eastAsia="Bell MT" w:cs="Bell MT"/>
        </w:rPr>
      </w:pPr>
      <w:r>
        <w:rPr>
          <w:rFonts w:ascii="Bell MT" w:hAnsi="Bell MT" w:eastAsia="Bell MT" w:cs="Bell MT"/>
        </w:rPr>
        <w:tab/>
        <w:t>PO Box 652</w:t>
      </w:r>
      <w:r>
        <w:rPr>
          <w:rFonts w:ascii="Bell MT" w:hAnsi="Bell MT" w:eastAsia="Bell MT" w:cs="Bell MT"/>
        </w:rPr>
        <w:br/>
        <w:t xml:space="preserve">            </w:t>
      </w:r>
      <w:r>
        <w:rPr>
          <w:rFonts w:ascii="Bell MT" w:hAnsi="Bell MT" w:eastAsia="Bell MT" w:cs="Bell MT"/>
        </w:rPr>
        <w:tab/>
        <w:t>Jefferson City, MO 65102</w:t>
      </w:r>
    </w:p>
    <w:p w:rsidR="00C70C31" w:rsidP="00C70C31" w:rsidRDefault="00C70C31" w14:paraId="549F6855" w14:textId="77777777">
      <w:pPr>
        <w:pBdr>
          <w:top w:val="nil"/>
          <w:left w:val="nil"/>
          <w:bottom w:val="nil"/>
          <w:right w:val="nil"/>
          <w:between w:val="nil"/>
        </w:pBdr>
        <w:tabs>
          <w:tab w:val="left" w:pos="5040"/>
        </w:tabs>
        <w:rPr>
          <w:rFonts w:ascii="Bell MT" w:hAnsi="Bell MT" w:eastAsia="Bell MT" w:cs="Bell MT"/>
        </w:rPr>
      </w:pPr>
      <w:r>
        <w:rPr>
          <w:rFonts w:ascii="Bell MT" w:hAnsi="Bell MT" w:eastAsia="Bell MT" w:cs="Bell MT"/>
        </w:rPr>
        <w:tab/>
        <w:t>573-291-3524</w:t>
      </w:r>
    </w:p>
    <w:p w:rsidR="00C70C31" w:rsidP="00C70C31" w:rsidRDefault="00C70C31" w14:paraId="02725BA6" w14:textId="77777777">
      <w:pPr>
        <w:pBdr>
          <w:top w:val="nil"/>
          <w:left w:val="nil"/>
          <w:bottom w:val="nil"/>
          <w:right w:val="nil"/>
          <w:between w:val="nil"/>
        </w:pBdr>
        <w:tabs>
          <w:tab w:val="left" w:pos="5040"/>
        </w:tabs>
        <w:rPr>
          <w:rFonts w:ascii="Bell MT" w:hAnsi="Bell MT" w:eastAsia="Bell MT" w:cs="Bell MT"/>
        </w:rPr>
      </w:pPr>
      <w:r>
        <w:rPr>
          <w:rFonts w:ascii="Bell MT" w:hAnsi="Bell MT" w:eastAsia="Bell MT" w:cs="Bell MT"/>
        </w:rPr>
        <w:tab/>
      </w:r>
    </w:p>
    <w:p w:rsidRPr="00C70C31" w:rsidR="00C70C31" w:rsidP="00C70C31" w:rsidRDefault="00C70C31" w14:paraId="7832AFD1" w14:textId="77777777">
      <w:pPr>
        <w:pBdr>
          <w:top w:val="nil"/>
          <w:left w:val="nil"/>
          <w:bottom w:val="nil"/>
          <w:right w:val="nil"/>
          <w:between w:val="nil"/>
        </w:pBdr>
        <w:tabs>
          <w:tab w:val="left" w:pos="5040"/>
        </w:tabs>
        <w:rPr>
          <w:rFonts w:eastAsia="Bell MT" w:cstheme="minorHAnsi"/>
        </w:rPr>
      </w:pPr>
      <w:r w:rsidRPr="00C70C31">
        <w:rPr>
          <w:rFonts w:eastAsia="Bell MT" w:cstheme="minorHAnsi"/>
        </w:rPr>
        <w:tab/>
      </w:r>
    </w:p>
    <w:p w:rsidRPr="004F3401" w:rsidR="004F3401" w:rsidP="00C70C31" w:rsidRDefault="004F3401" w14:paraId="05A19BAB" w14:textId="77777777">
      <w:pPr>
        <w:pBdr>
          <w:top w:val="nil"/>
          <w:left w:val="nil"/>
          <w:bottom w:val="nil"/>
          <w:right w:val="nil"/>
          <w:between w:val="nil"/>
        </w:pBdr>
        <w:contextualSpacing/>
        <w:rPr>
          <w:rFonts w:cstheme="minorHAnsi"/>
        </w:rPr>
      </w:pPr>
      <w:r w:rsidRPr="004F3401">
        <w:rPr>
          <w:rFonts w:cstheme="minorHAnsi"/>
        </w:rPr>
        <w:t>Jefferson City Mayor and City Council</w:t>
      </w:r>
      <w:r w:rsidRPr="004F3401">
        <w:rPr>
          <w:rFonts w:cstheme="minorHAnsi"/>
        </w:rPr>
        <w:br/>
        <w:t>320 E. McCarty Street</w:t>
      </w:r>
      <w:r w:rsidRPr="004F3401">
        <w:rPr>
          <w:rFonts w:cstheme="minorHAnsi"/>
        </w:rPr>
        <w:br/>
        <w:t>Jefferson City, MO 65101</w:t>
      </w:r>
    </w:p>
    <w:p w:rsidRPr="004F3401" w:rsidR="004F3401" w:rsidP="00C70C31" w:rsidRDefault="004F3401" w14:paraId="0715ABE1" w14:textId="77777777">
      <w:pPr>
        <w:pBdr>
          <w:top w:val="nil"/>
          <w:left w:val="nil"/>
          <w:bottom w:val="nil"/>
          <w:right w:val="nil"/>
          <w:between w:val="nil"/>
        </w:pBdr>
        <w:contextualSpacing/>
        <w:rPr>
          <w:rFonts w:cstheme="minorHAnsi"/>
        </w:rPr>
      </w:pPr>
    </w:p>
    <w:p w:rsidRPr="0024758A" w:rsidR="004F3401" w:rsidP="004F3401" w:rsidRDefault="004F3401" w14:paraId="15CC3826" w14:textId="77777777">
      <w:pPr>
        <w:spacing w:line="278" w:lineRule="auto"/>
      </w:pPr>
      <w:r w:rsidRPr="0024758A">
        <w:t>Dear Mayor and Members of the City Council,</w:t>
      </w:r>
    </w:p>
    <w:p w:rsidRPr="0024758A" w:rsidR="004F3401" w:rsidP="004F3401" w:rsidRDefault="004F3401" w14:paraId="5692CEBD" w14:textId="4975B2F3">
      <w:pPr>
        <w:spacing w:line="278" w:lineRule="auto"/>
      </w:pPr>
      <w:r w:rsidRPr="0024758A">
        <w:t xml:space="preserve">On behalf of Downtown Jefferson City, Inc., I am writing to express our support for placing a lodging tax extension on the November 4, </w:t>
      </w:r>
      <w:proofErr w:type="gramStart"/>
      <w:r w:rsidRPr="0024758A">
        <w:t>2025</w:t>
      </w:r>
      <w:proofErr w:type="gramEnd"/>
      <w:r w:rsidRPr="0024758A">
        <w:t xml:space="preserve"> ballot. We fully endorse the effort led by the Jefferson City Convention &amp; Visitors Bureau (</w:t>
      </w:r>
      <w:proofErr w:type="spellStart"/>
      <w:r w:rsidRPr="0024758A">
        <w:t>JCCVB</w:t>
      </w:r>
      <w:proofErr w:type="spellEnd"/>
      <w:r w:rsidRPr="0024758A">
        <w:t>)</w:t>
      </w:r>
      <w:r>
        <w:t xml:space="preserve"> to </w:t>
      </w:r>
      <w:r w:rsidRPr="0024758A">
        <w:t>extend the existing 7% lodging tax for an additional 25 years beyond its current expiration date of April 30, 2035.</w:t>
      </w:r>
    </w:p>
    <w:p w:rsidRPr="0024758A" w:rsidR="004F3401" w:rsidP="004F3401" w:rsidRDefault="004F3401" w14:paraId="591206B2" w14:textId="77777777">
      <w:pPr>
        <w:spacing w:line="278" w:lineRule="auto"/>
      </w:pPr>
      <w:r w:rsidRPr="0024758A">
        <w:t xml:space="preserve">Since its original approval by voters in 2011, the lodging tax has been a vital funding mechanism for both tourism promotion and the long-term vision of a conference center in Jefferson City. With 3% of the tax supporting the essential operations of the </w:t>
      </w:r>
      <w:proofErr w:type="spellStart"/>
      <w:r w:rsidRPr="0024758A">
        <w:t>JCCVB</w:t>
      </w:r>
      <w:proofErr w:type="spellEnd"/>
      <w:r w:rsidRPr="0024758A">
        <w:t xml:space="preserve"> and 4% dedicated to the conference center fund, this revenue has served as a cornerstone for efforts to position our city as a regional tourism and convention destination.</w:t>
      </w:r>
    </w:p>
    <w:p w:rsidRPr="0024758A" w:rsidR="004F3401" w:rsidP="004F3401" w:rsidRDefault="004F3401" w14:paraId="2397B2EF" w14:textId="18637C3E">
      <w:pPr>
        <w:spacing w:line="278" w:lineRule="auto"/>
      </w:pPr>
      <w:r w:rsidRPr="0024758A">
        <w:t>Extending the tax beyond 2035 provides the financial certainty necessary to increase bonding capacity for the construction of a future conference center and to invest in other tourism-related infrastructure. Importantly, this tax is paid by visitors to our community</w:t>
      </w:r>
      <w:r>
        <w:t xml:space="preserve"> - </w:t>
      </w:r>
      <w:r w:rsidRPr="0024758A">
        <w:t>through hotel and short-term rental stays</w:t>
      </w:r>
      <w:r>
        <w:t xml:space="preserve"> -</w:t>
      </w:r>
      <w:r w:rsidRPr="0024758A">
        <w:t xml:space="preserve">and not by </w:t>
      </w:r>
      <w:proofErr w:type="gramStart"/>
      <w:r w:rsidRPr="0024758A">
        <w:t>local residents</w:t>
      </w:r>
      <w:proofErr w:type="gramEnd"/>
      <w:r w:rsidRPr="0024758A">
        <w:t>.</w:t>
      </w:r>
    </w:p>
    <w:p w:rsidRPr="0024758A" w:rsidR="004F3401" w:rsidP="004F3401" w:rsidRDefault="004F3401" w14:paraId="6DACD374" w14:textId="37F922A1">
      <w:pPr>
        <w:spacing w:line="278" w:lineRule="auto"/>
      </w:pPr>
      <w:r w:rsidRPr="0024758A">
        <w:t>We respectfully urge the City Council to advance this measure to the voters for consideration on the November 2025 ballot. Doing so ensures we are proactively planning for the future of Jefferson City as a welcoming, thriving, and competitive destination.</w:t>
      </w:r>
    </w:p>
    <w:p w:rsidRPr="0024758A" w:rsidR="004F3401" w:rsidP="004F3401" w:rsidRDefault="004F3401" w14:paraId="1A38F5DD" w14:textId="77777777">
      <w:pPr>
        <w:spacing w:line="278" w:lineRule="auto"/>
      </w:pPr>
      <w:r w:rsidRPr="0024758A">
        <w:t>Sincerely,</w:t>
      </w:r>
    </w:p>
    <w:p w:rsidR="00CF7DA5" w:rsidRDefault="00CF7DA5" w14:paraId="0F0E07BB" w14:textId="77777777"/>
    <w:sectPr w:rsidR="00CF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31"/>
    <w:rsid w:val="0000732B"/>
    <w:rsid w:val="00035E2B"/>
    <w:rsid w:val="0004404C"/>
    <w:rsid w:val="00045E05"/>
    <w:rsid w:val="00085BBC"/>
    <w:rsid w:val="000B7ED4"/>
    <w:rsid w:val="000D790D"/>
    <w:rsid w:val="001007D9"/>
    <w:rsid w:val="00102F80"/>
    <w:rsid w:val="00113269"/>
    <w:rsid w:val="001263BB"/>
    <w:rsid w:val="00154D7A"/>
    <w:rsid w:val="0016657A"/>
    <w:rsid w:val="00182F5B"/>
    <w:rsid w:val="001A3E57"/>
    <w:rsid w:val="001A7003"/>
    <w:rsid w:val="001C2213"/>
    <w:rsid w:val="001C35DE"/>
    <w:rsid w:val="001C5469"/>
    <w:rsid w:val="001E74E7"/>
    <w:rsid w:val="0020453A"/>
    <w:rsid w:val="002126FF"/>
    <w:rsid w:val="002233A5"/>
    <w:rsid w:val="00243195"/>
    <w:rsid w:val="00245DA7"/>
    <w:rsid w:val="00253ECB"/>
    <w:rsid w:val="002A2720"/>
    <w:rsid w:val="002B027A"/>
    <w:rsid w:val="002C1A9B"/>
    <w:rsid w:val="002D3E0F"/>
    <w:rsid w:val="002D6D85"/>
    <w:rsid w:val="002E3A9B"/>
    <w:rsid w:val="00320210"/>
    <w:rsid w:val="00393FAE"/>
    <w:rsid w:val="003A6AAC"/>
    <w:rsid w:val="003C121A"/>
    <w:rsid w:val="003F1F74"/>
    <w:rsid w:val="004A04F6"/>
    <w:rsid w:val="004C1AFE"/>
    <w:rsid w:val="004C5F86"/>
    <w:rsid w:val="004F3401"/>
    <w:rsid w:val="00517BFB"/>
    <w:rsid w:val="00542483"/>
    <w:rsid w:val="005602D7"/>
    <w:rsid w:val="00563993"/>
    <w:rsid w:val="00565FB3"/>
    <w:rsid w:val="005A173C"/>
    <w:rsid w:val="005B12ED"/>
    <w:rsid w:val="005C5850"/>
    <w:rsid w:val="005C6E64"/>
    <w:rsid w:val="00606CEC"/>
    <w:rsid w:val="00625582"/>
    <w:rsid w:val="00656EF2"/>
    <w:rsid w:val="00663DF5"/>
    <w:rsid w:val="00667ACA"/>
    <w:rsid w:val="00691DC3"/>
    <w:rsid w:val="00692B20"/>
    <w:rsid w:val="0069553D"/>
    <w:rsid w:val="006A4C04"/>
    <w:rsid w:val="006B5E26"/>
    <w:rsid w:val="006E32C5"/>
    <w:rsid w:val="006F5AB4"/>
    <w:rsid w:val="00707192"/>
    <w:rsid w:val="00712288"/>
    <w:rsid w:val="0071304B"/>
    <w:rsid w:val="00751781"/>
    <w:rsid w:val="00760BCF"/>
    <w:rsid w:val="00775448"/>
    <w:rsid w:val="00793679"/>
    <w:rsid w:val="007A49AA"/>
    <w:rsid w:val="007A4B85"/>
    <w:rsid w:val="007B2445"/>
    <w:rsid w:val="007C1AF4"/>
    <w:rsid w:val="007D46B1"/>
    <w:rsid w:val="00810B0B"/>
    <w:rsid w:val="008155CA"/>
    <w:rsid w:val="00837215"/>
    <w:rsid w:val="00837D68"/>
    <w:rsid w:val="00841812"/>
    <w:rsid w:val="00850862"/>
    <w:rsid w:val="00850AA5"/>
    <w:rsid w:val="00851CA2"/>
    <w:rsid w:val="00853B7B"/>
    <w:rsid w:val="008623C1"/>
    <w:rsid w:val="00866B0F"/>
    <w:rsid w:val="008747FD"/>
    <w:rsid w:val="008747FF"/>
    <w:rsid w:val="0089500C"/>
    <w:rsid w:val="008B2E22"/>
    <w:rsid w:val="008D5883"/>
    <w:rsid w:val="008E6274"/>
    <w:rsid w:val="008E700E"/>
    <w:rsid w:val="009232A2"/>
    <w:rsid w:val="0093128D"/>
    <w:rsid w:val="00951E51"/>
    <w:rsid w:val="00980338"/>
    <w:rsid w:val="00991D82"/>
    <w:rsid w:val="00997100"/>
    <w:rsid w:val="009B2DF8"/>
    <w:rsid w:val="009B3914"/>
    <w:rsid w:val="009E5CEA"/>
    <w:rsid w:val="00A21DAD"/>
    <w:rsid w:val="00A303D8"/>
    <w:rsid w:val="00A4353B"/>
    <w:rsid w:val="00A91629"/>
    <w:rsid w:val="00A948CF"/>
    <w:rsid w:val="00A972F5"/>
    <w:rsid w:val="00AD2194"/>
    <w:rsid w:val="00AD4DC4"/>
    <w:rsid w:val="00AF785F"/>
    <w:rsid w:val="00B006EB"/>
    <w:rsid w:val="00B069A1"/>
    <w:rsid w:val="00B26EA4"/>
    <w:rsid w:val="00B32297"/>
    <w:rsid w:val="00B816F8"/>
    <w:rsid w:val="00BB5F87"/>
    <w:rsid w:val="00BC0E27"/>
    <w:rsid w:val="00BC32D5"/>
    <w:rsid w:val="00BC78D7"/>
    <w:rsid w:val="00BD2AAC"/>
    <w:rsid w:val="00C23BA7"/>
    <w:rsid w:val="00C2642D"/>
    <w:rsid w:val="00C35BC4"/>
    <w:rsid w:val="00C367F9"/>
    <w:rsid w:val="00C70C31"/>
    <w:rsid w:val="00C72FFB"/>
    <w:rsid w:val="00C8588E"/>
    <w:rsid w:val="00C93761"/>
    <w:rsid w:val="00C940B7"/>
    <w:rsid w:val="00CA08A1"/>
    <w:rsid w:val="00CB681F"/>
    <w:rsid w:val="00CF7DA5"/>
    <w:rsid w:val="00D02770"/>
    <w:rsid w:val="00D03077"/>
    <w:rsid w:val="00D03D7B"/>
    <w:rsid w:val="00D129C9"/>
    <w:rsid w:val="00D56864"/>
    <w:rsid w:val="00D6180C"/>
    <w:rsid w:val="00D8072D"/>
    <w:rsid w:val="00DA5104"/>
    <w:rsid w:val="00DB60F1"/>
    <w:rsid w:val="00DE6EE0"/>
    <w:rsid w:val="00E24BE5"/>
    <w:rsid w:val="00E31615"/>
    <w:rsid w:val="00E71870"/>
    <w:rsid w:val="00ED512B"/>
    <w:rsid w:val="00ED61E9"/>
    <w:rsid w:val="00EF3948"/>
    <w:rsid w:val="00F246E1"/>
    <w:rsid w:val="00F45AF0"/>
    <w:rsid w:val="00F54E98"/>
    <w:rsid w:val="00F56239"/>
    <w:rsid w:val="00F74F0F"/>
    <w:rsid w:val="00FA0DF5"/>
    <w:rsid w:val="00FC606A"/>
    <w:rsid w:val="00FE5C34"/>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4814"/>
  <w15:chartTrackingRefBased/>
  <w15:docId w15:val="{59B346E6-C8F7-4161-8C62-C69E21A4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F3401"/>
    <w:pPr>
      <w:keepNext/>
      <w:keepLines/>
      <w:spacing w:before="360" w:after="80" w:line="278" w:lineRule="auto"/>
      <w:outlineLvl w:val="0"/>
    </w:pPr>
    <w:rPr>
      <w:rFonts w:asciiTheme="majorHAnsi" w:hAnsiTheme="majorHAnsi" w:eastAsiaTheme="majorEastAsia" w:cstheme="majorBidi"/>
      <w:color w:val="2F5496" w:themeColor="accent1" w:themeShade="BF"/>
      <w:kern w:val="2"/>
      <w:sz w:val="40"/>
      <w:szCs w:val="40"/>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C70C31"/>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4F3401"/>
    <w:rPr>
      <w:rFonts w:asciiTheme="majorHAnsi" w:hAnsiTheme="majorHAnsi" w:eastAsiaTheme="majorEastAsia"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